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86" w:rsidRPr="00810D86" w:rsidRDefault="00810D86" w:rsidP="00810D86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810D86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Проектная декларация</w:t>
      </w:r>
    </w:p>
    <w:p w:rsidR="00810D86" w:rsidRPr="00810D86" w:rsidRDefault="00810D86" w:rsidP="00810D86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10D86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Общества с ограниченной ответственностью «Апрель»</w:t>
      </w:r>
    </w:p>
    <w:p w:rsidR="00810D86" w:rsidRPr="00810D86" w:rsidRDefault="00810D86" w:rsidP="00810D86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10D86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по строительству многоквартирного жилого дома с </w:t>
      </w:r>
      <w:proofErr w:type="gramStart"/>
      <w:r w:rsidRPr="00810D86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нежилыми  помещениями</w:t>
      </w:r>
      <w:proofErr w:type="gramEnd"/>
    </w:p>
    <w:p w:rsidR="00810D86" w:rsidRPr="00810D86" w:rsidRDefault="00810D86" w:rsidP="00810D86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10D86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по строительному </w:t>
      </w:r>
      <w:proofErr w:type="gramStart"/>
      <w:r w:rsidRPr="00810D86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адресу:  Рязанская</w:t>
      </w:r>
      <w:proofErr w:type="gramEnd"/>
      <w:r w:rsidRPr="00810D86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 область, город Рязань, район </w:t>
      </w:r>
      <w:proofErr w:type="spellStart"/>
      <w:r w:rsidRPr="00810D86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Канищево</w:t>
      </w:r>
      <w:proofErr w:type="spellEnd"/>
      <w:r w:rsidRPr="00810D86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, микрорайон-9, </w:t>
      </w:r>
      <w:proofErr w:type="spellStart"/>
      <w:r w:rsidRPr="00810D86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Семчинская</w:t>
      </w:r>
      <w:proofErr w:type="spellEnd"/>
      <w:r w:rsidRPr="00810D86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 улица, дом 4, корпус 1</w:t>
      </w:r>
    </w:p>
    <w:p w:rsidR="00810D86" w:rsidRPr="00810D86" w:rsidRDefault="00810D86" w:rsidP="00810D86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bookmarkStart w:id="0" w:name="_GoBack"/>
      <w:bookmarkEnd w:id="0"/>
    </w:p>
    <w:p w:rsidR="00810D86" w:rsidRPr="00810D86" w:rsidRDefault="00810D86" w:rsidP="00810D86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10D86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застройщике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5"/>
        <w:gridCol w:w="11399"/>
      </w:tblGrid>
      <w:tr w:rsidR="00810D86" w:rsidRPr="00810D86" w:rsidTr="00810D86">
        <w:trPr>
          <w:trHeight w:val="1588"/>
          <w:tblCellSpacing w:w="22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Фирменное наименование</w:t>
            </w: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Местонахождение Режим работы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 Апрель</w:t>
            </w:r>
            <w:proofErr w:type="gramEnd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».</w:t>
            </w:r>
          </w:p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местонахождения: 391050, Рязанская область, город Спасск- Рязанский, улица Ломоносова, дом 1-а.</w:t>
            </w:r>
          </w:p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ЗАО «Группа компаний «ЕДИНСТВО</w:t>
            </w:r>
            <w:proofErr w:type="gramStart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»:  390013</w:t>
            </w:r>
            <w:proofErr w:type="gramEnd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 </w:t>
            </w:r>
            <w:r w:rsidRPr="00810D86">
              <w:rPr>
                <w:rFonts w:ascii="Times New Roman" w:eastAsia="Times New Roman" w:hAnsi="Times New Roman" w:cs="Times New Roman"/>
                <w:lang w:eastAsia="ru-RU"/>
              </w:rPr>
              <w:t xml:space="preserve">Рязанская область, г. Рязань, Вокзальная улица, дом 41, </w:t>
            </w:r>
            <w:proofErr w:type="spellStart"/>
            <w:r w:rsidRPr="00810D86">
              <w:rPr>
                <w:rFonts w:ascii="Times New Roman" w:eastAsia="Times New Roman" w:hAnsi="Times New Roman" w:cs="Times New Roman"/>
                <w:lang w:eastAsia="ru-RU"/>
              </w:rPr>
              <w:t>пом</w:t>
            </w:r>
            <w:proofErr w:type="spellEnd"/>
            <w:r w:rsidRPr="00810D86">
              <w:rPr>
                <w:rFonts w:ascii="Times New Roman" w:eastAsia="Times New Roman" w:hAnsi="Times New Roman" w:cs="Times New Roman"/>
                <w:lang w:eastAsia="ru-RU"/>
              </w:rPr>
              <w:t xml:space="preserve"> Н5.</w:t>
            </w:r>
          </w:p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Пн-Пт</w:t>
            </w:r>
            <w:proofErr w:type="spellEnd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 9.00 до 19.00, </w:t>
            </w:r>
            <w:proofErr w:type="spellStart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 09.00 до 14.00, </w:t>
            </w:r>
            <w:proofErr w:type="spellStart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</w:t>
            </w:r>
            <w:proofErr w:type="spellEnd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выходной.</w:t>
            </w:r>
          </w:p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Тел.: (4912) 900-700</w:t>
            </w:r>
          </w:p>
        </w:tc>
      </w:tr>
      <w:tr w:rsidR="00810D86" w:rsidRPr="00810D86" w:rsidTr="00810D86">
        <w:trPr>
          <w:tblCellSpacing w:w="22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Государственная регистрация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 Апрель</w:t>
            </w:r>
            <w:proofErr w:type="gramEnd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Зарегистрировано Межрайонной Инспекцией ФНС России № 6 по Рязанской области</w:t>
            </w:r>
          </w:p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августа 2014 года</w:t>
            </w:r>
          </w:p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ОГРН 1146215000910, ИНН 6220009546, КПП 622001001.</w:t>
            </w:r>
          </w:p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10D86" w:rsidRPr="00810D86" w:rsidTr="00810D86">
        <w:trPr>
          <w:tblCellSpacing w:w="22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Учредители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 лицо: Куприенко Вадим Николаевич - 100% голосов.</w:t>
            </w:r>
          </w:p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10D86" w:rsidRPr="00810D86" w:rsidTr="00810D86">
        <w:trPr>
          <w:trHeight w:val="383"/>
          <w:tblCellSpacing w:w="22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Участие в проектах строительства</w:t>
            </w:r>
          </w:p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(за 3 предшествующих года)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Общество с ограниченной </w:t>
            </w:r>
            <w:proofErr w:type="gramStart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ответственностью  «</w:t>
            </w:r>
            <w:proofErr w:type="gramEnd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Апрель» ведет строительство  многоквартирного жилого дома с нежилыми помещениями по строительному адресу: </w:t>
            </w:r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Рязанская область, город Рязань, район </w:t>
            </w:r>
            <w:proofErr w:type="spellStart"/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Канищево</w:t>
            </w:r>
            <w:proofErr w:type="spellEnd"/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, микрорайон-9, улица </w:t>
            </w:r>
            <w:proofErr w:type="spellStart"/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Семчинская</w:t>
            </w:r>
            <w:proofErr w:type="spellEnd"/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 дом 4.</w:t>
            </w:r>
          </w:p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ввода в эксплуатацию – </w:t>
            </w: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IV</w:t>
            </w: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квартал 2016 года.</w:t>
            </w:r>
          </w:p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завершения проекта (срок передачи) – до 30 июня 2017 года.</w:t>
            </w:r>
          </w:p>
        </w:tc>
      </w:tr>
      <w:tr w:rsidR="00810D86" w:rsidRPr="00810D86" w:rsidTr="00810D86">
        <w:trPr>
          <w:tblCellSpacing w:w="22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 Лицензируемая деятельность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 августа 2015 года</w:t>
            </w: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Застройщиком с Обществом с ограниченной ответственностью </w:t>
            </w:r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</w:t>
            </w:r>
            <w:proofErr w:type="spellStart"/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Стройтехальянс</w:t>
            </w:r>
            <w:proofErr w:type="spellEnd"/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 </w:t>
            </w: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 </w:t>
            </w:r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Договор подряда</w:t>
            </w: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0026.05-2013-6234001868-С-135, выданное СРО НП «Объединение Рязанских строителей» 24 апреля 2013 г. на основании Решения Правления СРО НП «Объединение Рязанских строителей», протокол №124 от 24.04.2013 г. на неограниченный срок.</w:t>
            </w:r>
          </w:p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 августа 2015 года</w:t>
            </w: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Застройщиком с Обществом с ограниченной ответственностью </w:t>
            </w:r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</w:t>
            </w:r>
            <w:proofErr w:type="spellStart"/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Стройпромальянс</w:t>
            </w:r>
            <w:proofErr w:type="spellEnd"/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</w:t>
            </w: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заключен </w:t>
            </w:r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Договор на выполнение строительного контроля. </w:t>
            </w: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Свидетельство о </w:t>
            </w: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допуске к определенному виду или видам работ, которые оказывают влияние на безопасность объектов капитального строительства № 0027.04-2012-6215015030-С-135, выданное СРО НП «Объединение Рязанских строителей» 19.06.2012 г. на основании Решения Правления СРО НП «Объединение Рязанских строителей», протокол №96 от 19.06.2012 г. на неограниченный срок.</w:t>
            </w:r>
          </w:p>
        </w:tc>
      </w:tr>
      <w:tr w:rsidR="00810D86" w:rsidRPr="00810D86" w:rsidTr="00810D86">
        <w:trPr>
          <w:tblCellSpacing w:w="22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6. 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ru-RU"/>
              </w:rPr>
              <w:t>- Финансовый результат – 958 970 рублей;</w:t>
            </w:r>
          </w:p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ru-RU"/>
              </w:rPr>
              <w:t> </w:t>
            </w:r>
          </w:p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ru-RU"/>
              </w:rPr>
              <w:t>- Размер кредиторской задолженности – </w:t>
            </w: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1 130 007</w:t>
            </w: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ru-RU"/>
              </w:rPr>
              <w:t> рублей;</w:t>
            </w:r>
          </w:p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ru-RU"/>
              </w:rPr>
              <w:t> </w:t>
            </w:r>
          </w:p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ru-RU"/>
              </w:rPr>
              <w:t>- Размер дебиторской задолженности – </w:t>
            </w: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7 048 009</w:t>
            </w: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ru-RU"/>
              </w:rPr>
              <w:t> рублей.</w:t>
            </w:r>
          </w:p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810D86" w:rsidRPr="00810D86" w:rsidRDefault="00810D86" w:rsidP="00810D86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10D86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проекте строительства</w:t>
      </w:r>
    </w:p>
    <w:tbl>
      <w:tblPr>
        <w:tblW w:w="1407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11169"/>
      </w:tblGrid>
      <w:tr w:rsidR="00810D86" w:rsidRPr="00810D86" w:rsidTr="00810D86">
        <w:trPr>
          <w:tblCellSpacing w:w="22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многоквартирного жилого дома с нежилыми помещениями по строительному адресу: </w:t>
            </w:r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Рязанская область, город Рязань, район </w:t>
            </w:r>
            <w:proofErr w:type="spellStart"/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Канищево</w:t>
            </w:r>
            <w:proofErr w:type="spellEnd"/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 микрорайон-9, </w:t>
            </w:r>
            <w:proofErr w:type="spellStart"/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Семчинская</w:t>
            </w:r>
            <w:proofErr w:type="spellEnd"/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улица, дом 4, корпус 1</w:t>
            </w: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(далее - «здание дома»).</w:t>
            </w:r>
          </w:p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завершения проекта (срок передачи) – до 30 июня 2018 года.</w:t>
            </w:r>
          </w:p>
        </w:tc>
      </w:tr>
      <w:tr w:rsidR="00810D86" w:rsidRPr="00810D86" w:rsidTr="00810D86">
        <w:trPr>
          <w:tblCellSpacing w:w="22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Результат государственной экспертизы проектной документации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Положительное заключение негосударственной экспертизы №76-1-2-0091-14, утвержденное Генеральным директором ЗАО «Верхне-Волжский Институт Строительной Экспертизы и Консалтинга» 24 октября 2014 года.</w:t>
            </w:r>
          </w:p>
        </w:tc>
      </w:tr>
      <w:tr w:rsidR="00810D86" w:rsidRPr="00810D86" w:rsidTr="00810D86">
        <w:trPr>
          <w:tblCellSpacing w:w="22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Разрешение на строительство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Разрешение на строительство №</w:t>
            </w: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</w:t>
            </w: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62326000-150/2014/РС от «30» октября 2014 года, выдано Администрацией города Рязани.</w:t>
            </w:r>
          </w:p>
        </w:tc>
      </w:tr>
      <w:tr w:rsidR="00810D86" w:rsidRPr="00810D86" w:rsidTr="00810D86">
        <w:trPr>
          <w:trHeight w:val="723"/>
          <w:tblCellSpacing w:w="22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для  строительства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86" w:rsidRPr="00810D86" w:rsidRDefault="00810D86" w:rsidP="00810D86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Застройщик на праве аренды владеет: </w:t>
            </w:r>
          </w:p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-земельным участком</w:t>
            </w: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ru-RU"/>
              </w:rPr>
              <w:t>земельный участок с кадастровым №62:29:0020005:</w:t>
            </w:r>
            <w:proofErr w:type="gramStart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1607</w:t>
            </w: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ru-RU"/>
              </w:rPr>
              <w:t>,  категория</w:t>
            </w:r>
            <w:proofErr w:type="gramEnd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ru-RU"/>
              </w:rPr>
              <w:t xml:space="preserve"> земель – земли населенных пунктов, общей площадью – </w:t>
            </w: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6 692</w:t>
            </w: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ru-RU"/>
              </w:rPr>
              <w:t> (</w:t>
            </w: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шесть</w:t>
            </w: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ru-RU"/>
              </w:rPr>
              <w:t> тысяч шестьдесят девя</w:t>
            </w: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носто два</w:t>
            </w: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ru-RU"/>
              </w:rPr>
              <w:t xml:space="preserve">) </w:t>
            </w:r>
            <w:proofErr w:type="spellStart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ru-RU"/>
              </w:rPr>
              <w:t>кв.м</w:t>
            </w:r>
            <w:proofErr w:type="spellEnd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ru-RU"/>
              </w:rPr>
              <w:t>,</w:t>
            </w: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адрес: </w:t>
            </w: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ru-RU"/>
              </w:rPr>
              <w:t xml:space="preserve">Рязанская область, г. Рязань, р-н </w:t>
            </w:r>
            <w:proofErr w:type="spellStart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ru-RU"/>
              </w:rPr>
              <w:t>Семчино</w:t>
            </w:r>
            <w:proofErr w:type="spellEnd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ru-RU"/>
              </w:rPr>
              <w:t xml:space="preserve"> (Московский район), </w:t>
            </w: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(далее – </w:t>
            </w:r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Участок</w:t>
            </w: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») на основании Договора аренды от 06.10.2014 года, зарегистрированного Управлением Федеральной службы государственной регистрации, кадастра и картографии по Рязанской области 20.10. 2014 года за  №62-62-01/377/2014-283.</w:t>
            </w:r>
          </w:p>
          <w:p w:rsidR="00810D86" w:rsidRPr="00810D86" w:rsidRDefault="00810D86" w:rsidP="00810D86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 </w:t>
            </w:r>
          </w:p>
          <w:p w:rsidR="00810D86" w:rsidRPr="00810D86" w:rsidRDefault="00810D86" w:rsidP="00810D86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0D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Собственник  земельного</w:t>
            </w:r>
            <w:proofErr w:type="gramEnd"/>
            <w:r w:rsidRPr="00810D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 участка</w:t>
            </w:r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</w:p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Участок принадлежит </w:t>
            </w:r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Кирсановой А.В. </w:t>
            </w: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праву собственности. Право собственности зарегистрировано в Едином государственном реестре прав на недвижимое имущество и сделок с ним 02.04.2015 г., запись регистрации №62-62-01/342/2014-067.</w:t>
            </w:r>
          </w:p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810D86" w:rsidRPr="00810D86" w:rsidTr="00810D86">
        <w:trPr>
          <w:tblCellSpacing w:w="22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5. Элементы благоустройства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Проектом предусмотрены элементы благоустройства: площадки для отдыха детей с размещением малых архитектурных форм, контейнерная площадка с твердым покрытием для мусорных контейнеров, устройство </w:t>
            </w:r>
            <w:proofErr w:type="spellStart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внутридворового</w:t>
            </w:r>
            <w:proofErr w:type="spellEnd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проезда из асфальтобетона, открытая площадка для парковки автотранспорта. Все площадки имеют соответствующие покрытие. Для пешеходной связи разбивается сеть тротуаров. Покрытие проездов и тротуаров асфальтобетонное с бортовым камнем. Территория, свободная от застройки и проездов максимально озеленяется, высаживаются деревья и кустарники.</w:t>
            </w:r>
          </w:p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Предусмотрены мероприятия по обеспечению жизнедеятельности инвалидов и других маломобильных групп населения:</w:t>
            </w:r>
          </w:p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одна из входных групп предусматривает организацию пандуса с уклоном 8%;</w:t>
            </w:r>
          </w:p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вдоль обеих сторон пандуса предусматривается ограждения с поручнями;</w:t>
            </w:r>
          </w:p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предусматривается устройство наклонных подъемников с входной площадки до уровня первого этажа;</w:t>
            </w:r>
          </w:p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на открытой площадке для парковки автомашин выделены места для водителей, относящихся к маломобильным группам населения.</w:t>
            </w:r>
          </w:p>
        </w:tc>
      </w:tr>
      <w:tr w:rsidR="00810D86" w:rsidRPr="00810D86" w:rsidTr="00810D86">
        <w:trPr>
          <w:tblCellSpacing w:w="22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6. Местоположение многоквартирного дома, его описание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86" w:rsidRPr="00810D86" w:rsidRDefault="00810D86" w:rsidP="0081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3467803" wp14:editId="5CA065FC">
                  <wp:extent cx="6391275" cy="5686425"/>
                  <wp:effectExtent l="0" t="0" r="9525" b="9525"/>
                  <wp:docPr id="4" name="Рисунок 4" descr="http://old.edinstvo62.ru/houses/106/declaration_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old.edinstvo62.ru/houses/106/declaration_p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275" cy="568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</w:t>
            </w:r>
          </w:p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     Площадка строительства здания дома расположена в районе </w:t>
            </w:r>
            <w:proofErr w:type="spellStart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Семчино</w:t>
            </w:r>
            <w:proofErr w:type="spellEnd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микрорайона </w:t>
            </w:r>
            <w:proofErr w:type="spellStart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Канищево</w:t>
            </w:r>
            <w:proofErr w:type="spellEnd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города Рязани на незастроенной территории. Памятников историко-культурного наследия на участке и </w:t>
            </w:r>
            <w:proofErr w:type="gramStart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прилегающей  территории</w:t>
            </w:r>
            <w:proofErr w:type="gramEnd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нет. Здание дома расположено вне пределов охранной зоны и санитарно-защитных зон предприятий и сооружений.</w:t>
            </w:r>
          </w:p>
          <w:p w:rsidR="00810D86" w:rsidRPr="00810D86" w:rsidRDefault="00810D86" w:rsidP="00810D86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   Здание </w:t>
            </w:r>
            <w:proofErr w:type="gramStart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дома  одно</w:t>
            </w:r>
            <w:proofErr w:type="gramEnd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-подъездное, 15-ти этажное  с подвальным и техническим этажами. Этажи с 1-15 - жилые. На каждом этаже запроектировано 12 квартир. На жилых этажах расположены одно, двухкомнатные квартиры. Вход в жилую часть дома организован с территории двора через две входные группы, расположенные с противоположных фасадов здания дома.</w:t>
            </w:r>
          </w:p>
          <w:p w:rsidR="00810D86" w:rsidRPr="00810D86" w:rsidRDefault="00810D86" w:rsidP="00810D86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 Здание дома бескаркасное с несущими продольными и поперечными стенами из керамического кирпича со сборными перекрытиями и покрытием.  </w:t>
            </w:r>
          </w:p>
          <w:p w:rsidR="00810D86" w:rsidRPr="00810D86" w:rsidRDefault="00810D86" w:rsidP="00810D86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 Наружные и внутренние стены подвального этажа – сборные железобетонные блоки. С внешней стороны штукатурка с окраской фасадной полиакриловой краской.</w:t>
            </w:r>
          </w:p>
          <w:p w:rsidR="00810D86" w:rsidRPr="00810D86" w:rsidRDefault="00810D86" w:rsidP="00810D86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 Наружные стены 1-6 этажей выполнены из одинарного полнотелого керамического кирпича толщиной 770мм с облицовкой декоративной штукатуркой по утеплению толщиной 50 мм. Общая толщина стены 820 мм.</w:t>
            </w:r>
          </w:p>
          <w:p w:rsidR="00810D86" w:rsidRPr="00810D86" w:rsidRDefault="00810D86" w:rsidP="00810D86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 Наружные стены 7-15 этажей и технического этажа выполнены из камня крупноформатного </w:t>
            </w:r>
            <w:proofErr w:type="gramStart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пустотелого  из</w:t>
            </w:r>
            <w:proofErr w:type="gramEnd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пористой керамики толщиной 510 мм с облицовкой керамическим кирпичом толщиной 120 мм. Общая толщина стены 640 мм.</w:t>
            </w:r>
          </w:p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 Все квартиры имеют необходимый набор жилых и вспомогательных помещений, ориентация окон обеспечивает нормируемую инсоляцию в соответствии с требованиями СанПиН.</w:t>
            </w:r>
          </w:p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 Отопление и горячее водоснабжение квартир – автономное, от индивидуальных поквартирных двухконтурных газовых котлов, расположенных на кухнях. Система отопления квартир принята лучевая. Для учета и контроля расхода газа применяются газовые счетчики с импульсным выходом, устанавливаемые в кухне каждой квартиры и в </w:t>
            </w:r>
            <w:proofErr w:type="spellStart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теплогенераторной</w:t>
            </w:r>
            <w:proofErr w:type="spellEnd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 Отопление нежилых помещений – газовые котлы, установленные в </w:t>
            </w:r>
            <w:proofErr w:type="spellStart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теплогенераторных</w:t>
            </w:r>
            <w:proofErr w:type="spellEnd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Горячее водоснабжение нежилых помещений – от электрических водонагревателей.</w:t>
            </w:r>
          </w:p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 Здание дома оборудуется системой хозяйственно-питьевого </w:t>
            </w:r>
            <w:proofErr w:type="gramStart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водопровода,  подключение</w:t>
            </w:r>
            <w:proofErr w:type="gramEnd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которого производится к городской сети. Для учета расхода холодной воды на ответвлениях в каждую квартиру и нежилые </w:t>
            </w:r>
            <w:proofErr w:type="gramStart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помещения  установлены</w:t>
            </w:r>
            <w:proofErr w:type="gramEnd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счетчики.</w:t>
            </w:r>
          </w:p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 Источником электроснабжения здания дома является ранее запроектированная блочная комплектная трансформаторная подстанция.</w:t>
            </w:r>
          </w:p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 Проектом предусматривается наружное освещение дворовой части дома. Подключение осуществляется от существующей сети освещения микрорайона.</w:t>
            </w:r>
          </w:p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 Для электроснабжения квартир предусмотрены щитки этажные распределения электроэнергии ЩЭ 3, ЩЭ 4, устанавливаемые в нишах стен поэтажных коридоров.</w:t>
            </w:r>
          </w:p>
          <w:p w:rsidR="00810D86" w:rsidRPr="00810D86" w:rsidRDefault="00810D86" w:rsidP="00810D86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 В подвальном этаже предполагается размещение инженерных коммуникаций, нежилых помещений (</w:t>
            </w:r>
            <w:proofErr w:type="spellStart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внеквартирных</w:t>
            </w:r>
            <w:proofErr w:type="spellEnd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хозяйственных кладовых), </w:t>
            </w:r>
            <w:proofErr w:type="spellStart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электрощитовая</w:t>
            </w:r>
            <w:proofErr w:type="spellEnd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810D86" w:rsidRPr="00810D86" w:rsidRDefault="00810D86" w:rsidP="00810D86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 В проектной документации предусмотрено устройство сетей связи: телефонизация, радиофикация, телевидение, диспетчеризация лифтов.</w:t>
            </w:r>
          </w:p>
          <w:p w:rsidR="00810D86" w:rsidRPr="00810D86" w:rsidRDefault="00810D86" w:rsidP="00810D86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 В здании дома предусмотрена установка двух пассажирских лифтов. Один лифт грузоподъемностью 400 кг, другой – 630 кг. Параметры кабины второго лифта достаточны для пользования инвалидом на кресле-коляске. Остановки лифтов предусмотрены с 1 по 15 этажи. Шахты лифта </w:t>
            </w:r>
            <w:proofErr w:type="gramStart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имеют  смежные</w:t>
            </w:r>
            <w:proofErr w:type="gramEnd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стены с помещением квартир (с кухней).</w:t>
            </w:r>
          </w:p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 В квартирах на кухнях предусмотрены установки газовых плит.</w:t>
            </w:r>
          </w:p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 Вентиляция </w:t>
            </w:r>
            <w:proofErr w:type="gramStart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квартир  и</w:t>
            </w:r>
            <w:proofErr w:type="gramEnd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нежилых помещений</w:t>
            </w:r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-</w:t>
            </w: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приточно-вытяжная с механическим и естественным побуждением. </w:t>
            </w:r>
          </w:p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 Фундамент – монолитная железобетонная фундаментная плита.</w:t>
            </w:r>
          </w:p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 Кровля – плоская с организованным внутренним водостоком.</w:t>
            </w:r>
          </w:p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      Оконные проемы </w:t>
            </w:r>
            <w:proofErr w:type="gramStart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остекляются  ПВХ</w:t>
            </w:r>
            <w:proofErr w:type="gramEnd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-профилем.   Лоджии, балконы остекляются ПВХ или алюминиевым профилем, согласно фасадного решения. </w:t>
            </w:r>
          </w:p>
        </w:tc>
      </w:tr>
      <w:tr w:rsidR="00810D86" w:rsidRPr="00810D86" w:rsidTr="00810D86">
        <w:trPr>
          <w:tblCellSpacing w:w="22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7</w:t>
            </w:r>
            <w:r w:rsidRPr="00810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Количество в составе многоквартирного дома самостоятельных частей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Квартир</w:t>
            </w: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:- 179, из них:</w:t>
            </w: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однокомнатных – 120;</w:t>
            </w: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двухкомнатных  - 59.</w:t>
            </w:r>
          </w:p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Нежилые помещения – 4.</w:t>
            </w:r>
          </w:p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10D86" w:rsidRPr="00810D86" w:rsidTr="00810D86">
        <w:trPr>
          <w:tblCellSpacing w:w="22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8. 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подвальном этаже </w:t>
            </w: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– в </w:t>
            </w:r>
            <w:proofErr w:type="gramStart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местах  отсутствия</w:t>
            </w:r>
            <w:proofErr w:type="gramEnd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инженерных коммуникаций предусматривается возможность размещения нежилых помещений без конкретного назначения, а также нежилых помещений (</w:t>
            </w:r>
            <w:proofErr w:type="spellStart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внеквартирных</w:t>
            </w:r>
            <w:proofErr w:type="spellEnd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хозяйственных кладовых).</w:t>
            </w:r>
          </w:p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810D86" w:rsidRPr="00810D86" w:rsidTr="00810D86">
        <w:trPr>
          <w:tblCellSpacing w:w="22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9. Состав общего имущества в многоквартирном доме, которое будет находиться в общей долевой собственности участников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состав общего имущества дома входят: инженерные коммуникации, помещения общего пользования, в том числе - лестницы, межквартирные лестничные площадки, лифты, лифтовые и иные шахты, коридоры, крыша, технический этаж, ограждающие несущие и ненесущие конструкции, </w:t>
            </w:r>
            <w:proofErr w:type="spellStart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электрощитовая</w:t>
            </w:r>
            <w:proofErr w:type="spellEnd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узлы ввода и учета воды, тепла, земельный участок.</w:t>
            </w:r>
          </w:p>
        </w:tc>
      </w:tr>
      <w:tr w:rsidR="00810D86" w:rsidRPr="00810D86" w:rsidTr="00810D86">
        <w:trPr>
          <w:tblCellSpacing w:w="22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10. Предполагаемый срок получения разрешения на ввод в эксплуатацию строящегося дома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IV</w:t>
            </w: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квартал 2017 года</w:t>
            </w:r>
          </w:p>
        </w:tc>
      </w:tr>
      <w:tr w:rsidR="00810D86" w:rsidRPr="00810D86" w:rsidTr="00810D86">
        <w:trPr>
          <w:trHeight w:val="2321"/>
          <w:tblCellSpacing w:w="22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11. Орган, уполномоченный в соответствии с законодательством о градостроительной деятельности на выдачу разрешения на ввод в эксплуатацию 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86" w:rsidRPr="00810D86" w:rsidRDefault="00810D86" w:rsidP="00810D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Администрация города Рязани.</w:t>
            </w:r>
          </w:p>
        </w:tc>
      </w:tr>
      <w:tr w:rsidR="00810D86" w:rsidRPr="00810D86" w:rsidTr="00810D86">
        <w:trPr>
          <w:tblCellSpacing w:w="22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12. 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 относит к рискам следующие обстоятельства:</w:t>
            </w: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- мятеж, бунт, беспорядки, военные действия и иные общественные события;</w:t>
            </w: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-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</w:p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любые аналогичные события и обстоятельства, выходящие за рамки контроля Застройщика.</w:t>
            </w:r>
          </w:p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Добровольное страхование на момент опубликования проектной декларации не осуществляется.</w:t>
            </w:r>
          </w:p>
        </w:tc>
      </w:tr>
      <w:tr w:rsidR="00810D86" w:rsidRPr="00810D86" w:rsidTr="00810D86">
        <w:trPr>
          <w:tblCellSpacing w:w="22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13. Планируемая стоимость строительства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182 500 000 рублей</w:t>
            </w:r>
          </w:p>
        </w:tc>
      </w:tr>
      <w:tr w:rsidR="00810D86" w:rsidRPr="00810D86" w:rsidTr="00810D86">
        <w:trPr>
          <w:tblCellSpacing w:w="22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14. Перечень организаций, осуществляющих строительно-монтажные и другие работы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«Апрель»;</w:t>
            </w:r>
          </w:p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ОАО «</w:t>
            </w:r>
            <w:proofErr w:type="spellStart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РязаньГоргаз</w:t>
            </w:r>
            <w:proofErr w:type="spellEnd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»;</w:t>
            </w:r>
          </w:p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ОАО «МРСК Центра и Приволжья» филиал «Рязаньэнерго»;</w:t>
            </w:r>
          </w:p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</w:t>
            </w:r>
            <w:proofErr w:type="spellStart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Стройпромальянс</w:t>
            </w:r>
            <w:proofErr w:type="spellEnd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</w:t>
            </w:r>
            <w:proofErr w:type="spellStart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Стройтехальянс</w:t>
            </w:r>
            <w:proofErr w:type="spellEnd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Евтюхин</w:t>
            </w:r>
            <w:proofErr w:type="spellEnd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А.Н.;</w:t>
            </w:r>
          </w:p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МУП «Водоканал </w:t>
            </w:r>
            <w:proofErr w:type="gramStart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города  Рязани</w:t>
            </w:r>
            <w:proofErr w:type="gramEnd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МУП «Благоустройство города и дорожного хозяйства администрации города Рязани»;</w:t>
            </w:r>
          </w:p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</w:t>
            </w:r>
            <w:proofErr w:type="spellStart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Рязаньлифт</w:t>
            </w:r>
            <w:proofErr w:type="spellEnd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 «Группа компаний «ЕДИНСТВО».</w:t>
            </w:r>
          </w:p>
        </w:tc>
      </w:tr>
      <w:tr w:rsidR="00810D86" w:rsidRPr="00810D86" w:rsidTr="00810D86">
        <w:trPr>
          <w:tblCellSpacing w:w="22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15. Способ обеспечений исполнений обязательств Застройщика по договорам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соответствии </w:t>
            </w:r>
            <w:proofErr w:type="gramStart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  Федеральным</w:t>
            </w:r>
            <w:proofErr w:type="gramEnd"/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«Закон»)  обеспечение обязательств по договорам  участия в долевом строительстве осуществляется:</w:t>
            </w:r>
          </w:p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залог – в порядке, установленном статьями 13-15 Закона;</w:t>
            </w:r>
          </w:p>
          <w:p w:rsidR="00810D86" w:rsidRPr="00810D86" w:rsidRDefault="00810D86" w:rsidP="008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-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каждому договору в порядке, установленном статьей 15.2 Закона.</w:t>
            </w:r>
          </w:p>
        </w:tc>
      </w:tr>
      <w:tr w:rsidR="00810D86" w:rsidRPr="00810D86" w:rsidTr="00810D86">
        <w:trPr>
          <w:tblCellSpacing w:w="22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16. Иные договоры и сделки, на основании которых привлекаются денежные средства для строительства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86" w:rsidRPr="00810D86" w:rsidRDefault="00810D86" w:rsidP="0081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Договоры займа.</w:t>
            </w:r>
          </w:p>
        </w:tc>
      </w:tr>
    </w:tbl>
    <w:p w:rsidR="00810D86" w:rsidRPr="00810D86" w:rsidRDefault="00810D86" w:rsidP="00810D86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10D86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</w:t>
      </w:r>
    </w:p>
    <w:p w:rsidR="00810D86" w:rsidRPr="00810D86" w:rsidRDefault="00810D86" w:rsidP="00810D86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</w:p>
    <w:p w:rsidR="00810D86" w:rsidRPr="00810D86" w:rsidRDefault="00810D86" w:rsidP="00810D86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10D86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00337D" w:rsidRDefault="00810D86" w:rsidP="00810D86">
      <w:r w:rsidRPr="00810D86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  <w:t>24 августа 2015 года.</w:t>
      </w:r>
      <w:r w:rsidRPr="00810D86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  <w:r w:rsidRPr="00810D86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  <w:r w:rsidRPr="00810D86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  <w:r w:rsidRPr="00810D86">
        <w:rPr>
          <w:rFonts w:ascii="Calibri" w:eastAsia="Times New Roman" w:hAnsi="Calibri" w:cs="Calibri"/>
          <w:i/>
          <w:iCs/>
          <w:color w:val="60534C"/>
          <w:sz w:val="21"/>
          <w:szCs w:val="21"/>
          <w:lang w:eastAsia="ru-RU"/>
        </w:rPr>
        <w:t>Проектная декларация в данной редакции опубликована в сети Интернет на сайте </w:t>
      </w:r>
      <w:hyperlink r:id="rId6" w:history="1">
        <w:r w:rsidRPr="00810D86">
          <w:rPr>
            <w:rFonts w:ascii="Calibri" w:eastAsia="Times New Roman" w:hAnsi="Calibri" w:cs="Calibri"/>
            <w:i/>
            <w:iCs/>
            <w:color w:val="60534C"/>
            <w:sz w:val="21"/>
            <w:szCs w:val="21"/>
            <w:u w:val="single"/>
            <w:lang w:eastAsia="ru-RU"/>
          </w:rPr>
          <w:t>http://www.edinstvo62.ru</w:t>
        </w:r>
      </w:hyperlink>
      <w:r w:rsidRPr="00810D86">
        <w:rPr>
          <w:rFonts w:ascii="Calibri" w:eastAsia="Times New Roman" w:hAnsi="Calibri" w:cs="Calibri"/>
          <w:i/>
          <w:iCs/>
          <w:color w:val="60534C"/>
          <w:sz w:val="21"/>
          <w:szCs w:val="21"/>
          <w:lang w:eastAsia="ru-RU"/>
        </w:rPr>
        <w:t> 24 августа 2015 года.</w:t>
      </w:r>
    </w:p>
    <w:sectPr w:rsidR="0000337D" w:rsidSect="00810D86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86"/>
    <w:rsid w:val="0000337D"/>
    <w:rsid w:val="0081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FFA4B-B83A-435B-B704-659F6006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8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dinstvo62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E2EA0-7E0D-4CC8-8FD2-E03B75D4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2017-06-09T11:23:00Z</dcterms:created>
  <dcterms:modified xsi:type="dcterms:W3CDTF">2017-06-09T11:24:00Z</dcterms:modified>
</cp:coreProperties>
</file>